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1E41BC9" w14:textId="5EED668D" w:rsidR="00836EF1" w:rsidRDefault="006F5FD0" w:rsidP="00836EF1">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r w:rsidR="003C4372">
        <w:rPr>
          <w:b/>
          <w:bCs/>
          <w:iCs/>
          <w:sz w:val="28"/>
          <w:lang w:val="en-GB"/>
        </w:rPr>
        <w:t>B</w:t>
      </w:r>
      <w:r w:rsidR="00A40A1B" w:rsidRPr="00A40A1B">
        <w:rPr>
          <w:b/>
          <w:bCs/>
          <w:iCs/>
          <w:sz w:val="28"/>
          <w:lang w:val="en-GB"/>
        </w:rPr>
        <w:t xml:space="preserve">ilateral workshop </w:t>
      </w:r>
      <w:r w:rsidR="003C4372">
        <w:rPr>
          <w:b/>
          <w:bCs/>
          <w:iCs/>
          <w:sz w:val="28"/>
          <w:lang w:val="en-GB"/>
        </w:rPr>
        <w:t>in Vienna</w:t>
      </w:r>
    </w:p>
    <w:p w14:paraId="3363FF0F" w14:textId="41EB4ACF"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00B21A41">
        <w:rPr>
          <w:rStyle w:val="Strong"/>
          <w:sz w:val="28"/>
          <w:szCs w:val="28"/>
          <w:lang w:val="en-GB"/>
        </w:rPr>
        <w:t xml:space="preserve"> Vienna</w:t>
      </w:r>
      <w:r w:rsidR="00CE54A4">
        <w:rPr>
          <w:rStyle w:val="Strong"/>
          <w:sz w:val="28"/>
          <w:szCs w:val="28"/>
          <w:lang w:val="en-GB"/>
        </w:rPr>
        <w:t xml:space="preserve">, </w:t>
      </w:r>
      <w:r w:rsidR="00B21A41">
        <w:rPr>
          <w:rStyle w:val="Strong"/>
          <w:sz w:val="28"/>
          <w:szCs w:val="28"/>
          <w:lang w:val="en-GB"/>
        </w:rPr>
        <w:t>Austria</w:t>
      </w:r>
      <w:r w:rsidR="002F16DD">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3BABFCE6" w:rsidR="006F5FD0" w:rsidRPr="007135FE" w:rsidRDefault="009D1829">
      <w:pPr>
        <w:pStyle w:val="Blockquote"/>
        <w:rPr>
          <w:i/>
          <w:sz w:val="22"/>
          <w:szCs w:val="22"/>
          <w:lang w:val="en-GB"/>
        </w:rPr>
      </w:pPr>
      <w:r>
        <w:rPr>
          <w:sz w:val="22"/>
          <w:szCs w:val="22"/>
        </w:rPr>
        <w:t>2024/454-229-TD</w:t>
      </w:r>
      <w:r w:rsidR="006859A4">
        <w:rPr>
          <w:sz w:val="22"/>
          <w:szCs w:val="22"/>
        </w:rPr>
        <w:t>1</w:t>
      </w:r>
      <w:r w:rsidR="00B21A41">
        <w:rPr>
          <w:sz w:val="22"/>
          <w:szCs w:val="22"/>
        </w:rPr>
        <w:t>4</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99BD5D5" w:rsidR="006F5FD0" w:rsidRPr="00B33EE6" w:rsidRDefault="00CE54A4" w:rsidP="007135FE">
      <w:pPr>
        <w:pStyle w:val="Blockquote"/>
        <w:ind w:left="0" w:firstLine="360"/>
        <w:jc w:val="both"/>
        <w:rPr>
          <w:sz w:val="22"/>
          <w:szCs w:val="22"/>
          <w:lang w:val="en-GB"/>
        </w:rPr>
      </w:pPr>
      <w:r>
        <w:rPr>
          <w:sz w:val="22"/>
          <w:szCs w:val="22"/>
          <w:lang w:val="en-GB"/>
        </w:rPr>
        <w:t>Si</w:t>
      </w:r>
      <w:r w:rsidR="00B21A41">
        <w:rPr>
          <w:sz w:val="22"/>
          <w:szCs w:val="22"/>
          <w:lang w:val="en-GB"/>
        </w:rPr>
        <w:t>ngle</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9A5AC50" w14:textId="6DC3300B" w:rsidR="00F27707" w:rsidRPr="003C4372" w:rsidRDefault="003C4372" w:rsidP="00054B75">
      <w:pPr>
        <w:ind w:left="360"/>
        <w:jc w:val="both"/>
        <w:outlineLvl w:val="0"/>
        <w:rPr>
          <w:rStyle w:val="Strong"/>
          <w:b w:val="0"/>
          <w:sz w:val="22"/>
          <w:szCs w:val="22"/>
          <w:lang w:val="en-GB"/>
        </w:rPr>
      </w:pPr>
      <w:r w:rsidRPr="003C4372">
        <w:rPr>
          <w:sz w:val="22"/>
          <w:szCs w:val="22"/>
        </w:rPr>
        <w:t xml:space="preserve">The purpose of this contract is to provide logistic support to Contracting Authority in organizing the Bilateral Workshop between IT business operators from Serbian and Kosovo economies, </w:t>
      </w:r>
      <w:r w:rsidRPr="003C4372">
        <w:rPr>
          <w:sz w:val="22"/>
          <w:szCs w:val="22"/>
          <w:lang w:val="en-GB"/>
        </w:rPr>
        <w:t>in Vienna, Austria. The workshop is aimed at raising awareness and interest of local companies on the market situation and business opportunities in IT sector on the other side of the administrative line.</w:t>
      </w:r>
      <w:bookmarkStart w:id="0" w:name="_GoBack"/>
      <w:bookmarkEnd w:id="0"/>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752193CC"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B21A41">
        <w:rPr>
          <w:sz w:val="22"/>
          <w:szCs w:val="22"/>
          <w:lang w:val="en-GB"/>
        </w:rPr>
        <w:t>20</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lastRenderedPageBreak/>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67B49480" w:rsidR="006F5FD0" w:rsidRPr="00FD0BC2" w:rsidRDefault="007A3112" w:rsidP="00571687">
      <w:pPr>
        <w:pStyle w:val="Blockquote"/>
        <w:jc w:val="both"/>
        <w:rPr>
          <w:sz w:val="22"/>
          <w:szCs w:val="22"/>
          <w:lang w:val="en-GB"/>
        </w:rPr>
      </w:pPr>
      <w:r w:rsidRPr="007A3112">
        <w:rPr>
          <w:sz w:val="22"/>
          <w:szCs w:val="22"/>
          <w:lang w:val="en-GB"/>
        </w:rPr>
        <w:t>2</w:t>
      </w:r>
      <w:r w:rsidR="00B21A41">
        <w:rPr>
          <w:sz w:val="22"/>
          <w:szCs w:val="22"/>
          <w:lang w:val="en-GB"/>
        </w:rPr>
        <w:t>0</w:t>
      </w:r>
      <w:r w:rsidRPr="007A3112">
        <w:rPr>
          <w:sz w:val="22"/>
          <w:szCs w:val="22"/>
          <w:lang w:val="en-GB"/>
        </w:rPr>
        <w:t xml:space="preserve"> </w:t>
      </w:r>
      <w:r w:rsidR="00B21A41">
        <w:rPr>
          <w:sz w:val="22"/>
          <w:szCs w:val="22"/>
          <w:lang w:val="en-GB"/>
        </w:rPr>
        <w:t>January</w:t>
      </w:r>
      <w:r w:rsidR="00D54382" w:rsidRPr="007A3112">
        <w:rPr>
          <w:sz w:val="22"/>
          <w:szCs w:val="22"/>
          <w:lang w:val="en-GB"/>
        </w:rPr>
        <w:t xml:space="preserve"> </w:t>
      </w:r>
      <w:r w:rsidR="003A68F8" w:rsidRPr="007A3112">
        <w:rPr>
          <w:sz w:val="22"/>
          <w:szCs w:val="22"/>
          <w:lang w:val="en-GB"/>
        </w:rPr>
        <w:t>202</w:t>
      </w:r>
      <w:r w:rsidR="00B21A41">
        <w:rPr>
          <w:sz w:val="22"/>
          <w:szCs w:val="22"/>
          <w:lang w:val="en-GB"/>
        </w:rPr>
        <w:t>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386097C4" w:rsidR="00853928" w:rsidRDefault="00B21A41" w:rsidP="00853928">
      <w:pPr>
        <w:ind w:firstLine="360"/>
        <w:rPr>
          <w:sz w:val="22"/>
          <w:szCs w:val="22"/>
          <w:lang w:val="en-GB"/>
        </w:rPr>
      </w:pPr>
      <w:r>
        <w:rPr>
          <w:sz w:val="22"/>
          <w:szCs w:val="22"/>
          <w:lang w:val="en-GB"/>
        </w:rPr>
        <w:t>1 month</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B45817D"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48554E1" w14:textId="77777777" w:rsidR="00836A3F" w:rsidRDefault="00836A3F" w:rsidP="002B563D">
      <w:pPr>
        <w:pStyle w:val="Blockquote"/>
        <w:ind w:left="450"/>
        <w:jc w:val="both"/>
        <w:rPr>
          <w:sz w:val="22"/>
          <w:szCs w:val="22"/>
          <w:lang w:val="en-GB"/>
        </w:rPr>
      </w:pPr>
    </w:p>
    <w:p w14:paraId="6D432F8D" w14:textId="6E71CC57" w:rsidR="00707D29" w:rsidRPr="00646E35" w:rsidRDefault="00571687" w:rsidP="00D3666A">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w:t>
      </w:r>
      <w:r w:rsidR="00663C6D" w:rsidRPr="00B33EE6">
        <w:rPr>
          <w:sz w:val="22"/>
          <w:szCs w:val="22"/>
          <w:lang w:val="en-GB"/>
        </w:rPr>
        <w:lastRenderedPageBreak/>
        <w:t xml:space="preserve">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7E5971F4" w14:textId="02B8E624" w:rsidR="00251A5F" w:rsidRDefault="00251A5F" w:rsidP="00251A5F">
      <w:pPr>
        <w:pStyle w:val="Blockquote"/>
        <w:ind w:left="641" w:right="357" w:hanging="284"/>
        <w:jc w:val="both"/>
        <w:rPr>
          <w:sz w:val="22"/>
          <w:szCs w:val="22"/>
          <w:lang w:val="en-GB"/>
        </w:rPr>
      </w:pPr>
      <w:r w:rsidRPr="00646E35">
        <w:rPr>
          <w:i/>
          <w:sz w:val="22"/>
          <w:szCs w:val="22"/>
          <w:u w:val="single"/>
          <w:lang w:val="en-GB"/>
        </w:rPr>
        <w:t>Criterion</w:t>
      </w:r>
      <w:r w:rsidRPr="007254A2">
        <w:rPr>
          <w:sz w:val="22"/>
          <w:szCs w:val="22"/>
          <w:lang w:val="en-GB"/>
        </w:rPr>
        <w:t xml:space="preserve">:  </w:t>
      </w:r>
    </w:p>
    <w:p w14:paraId="4875990C" w14:textId="77777777" w:rsidR="00251A5F" w:rsidRPr="00646E35" w:rsidRDefault="00251A5F" w:rsidP="00251A5F">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7A465A55" w14:textId="3E15B1CF" w:rsidR="00251A5F" w:rsidRPr="006D4100" w:rsidRDefault="00251A5F" w:rsidP="00251A5F">
      <w:pPr>
        <w:pStyle w:val="Blockquote"/>
        <w:ind w:left="641" w:right="357" w:hanging="284"/>
        <w:jc w:val="both"/>
        <w:rPr>
          <w:sz w:val="22"/>
          <w:szCs w:val="22"/>
          <w:lang w:val="en-GB"/>
        </w:rPr>
      </w:pPr>
      <w:r w:rsidRPr="007254A2">
        <w:rPr>
          <w:sz w:val="22"/>
          <w:szCs w:val="22"/>
          <w:u w:val="single"/>
          <w:lang w:val="en-GB"/>
        </w:rPr>
        <w:t>Requested proof documents</w:t>
      </w:r>
      <w:r>
        <w:rPr>
          <w:sz w:val="22"/>
          <w:szCs w:val="22"/>
          <w:lang w:val="en-GB"/>
        </w:rPr>
        <w:t>:</w:t>
      </w:r>
      <w:r w:rsidRPr="007254A2">
        <w:rPr>
          <w:sz w:val="22"/>
          <w:szCs w:val="22"/>
          <w:lang w:val="en-GB"/>
        </w:rPr>
        <w:t xml:space="preserve"> </w:t>
      </w:r>
      <w:r w:rsidR="00B21A41">
        <w:rPr>
          <w:sz w:val="22"/>
          <w:szCs w:val="22"/>
          <w:lang w:val="en-GB"/>
        </w:rPr>
        <w:t>not required</w:t>
      </w:r>
    </w:p>
    <w:p w14:paraId="1F9BF469" w14:textId="7C08F2D9" w:rsidR="002D7BB8" w:rsidRDefault="002D7BB8" w:rsidP="000A5CA2">
      <w:pPr>
        <w:pStyle w:val="Blockquote"/>
        <w:ind w:left="641" w:right="357" w:hanging="284"/>
        <w:jc w:val="both"/>
        <w:rPr>
          <w:sz w:val="22"/>
          <w:szCs w:val="22"/>
          <w:lang w:val="en-GB"/>
        </w:rPr>
      </w:pPr>
    </w:p>
    <w:p w14:paraId="75D47529" w14:textId="5AC1BCE4"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6299F48D" w14:textId="012977F3" w:rsidR="007A3112" w:rsidRPr="00E859A7" w:rsidRDefault="007A3112" w:rsidP="007A3112">
      <w:pPr>
        <w:pStyle w:val="Blockquote"/>
        <w:ind w:right="357" w:hanging="3"/>
        <w:jc w:val="both"/>
        <w:rPr>
          <w:i/>
          <w:sz w:val="22"/>
          <w:szCs w:val="22"/>
          <w:u w:val="single"/>
          <w:lang w:val="en-GB"/>
        </w:rPr>
      </w:pPr>
      <w:r w:rsidRPr="00E859A7">
        <w:rPr>
          <w:i/>
          <w:sz w:val="22"/>
          <w:szCs w:val="22"/>
          <w:u w:val="single"/>
          <w:lang w:val="en-GB"/>
        </w:rPr>
        <w:t>Criteri</w:t>
      </w:r>
      <w:r w:rsidR="00D3666A">
        <w:rPr>
          <w:i/>
          <w:sz w:val="22"/>
          <w:szCs w:val="22"/>
          <w:u w:val="single"/>
          <w:lang w:val="en-GB"/>
        </w:rPr>
        <w:t>on</w:t>
      </w:r>
      <w:r w:rsidRPr="00E859A7">
        <w:rPr>
          <w:i/>
          <w:sz w:val="22"/>
          <w:szCs w:val="22"/>
          <w:u w:val="single"/>
          <w:lang w:val="en-GB"/>
        </w:rPr>
        <w:t>:</w:t>
      </w:r>
    </w:p>
    <w:p w14:paraId="4747BEE8" w14:textId="2B1D5115" w:rsidR="007A3112" w:rsidRDefault="00D3666A" w:rsidP="00D3666A">
      <w:pPr>
        <w:pStyle w:val="Blockquote"/>
        <w:numPr>
          <w:ilvl w:val="0"/>
          <w:numId w:val="3"/>
        </w:numPr>
        <w:spacing w:after="0"/>
        <w:ind w:right="357"/>
        <w:jc w:val="both"/>
        <w:rPr>
          <w:sz w:val="22"/>
          <w:szCs w:val="22"/>
          <w:lang w:val="en-GB"/>
        </w:rPr>
      </w:pPr>
      <w:r w:rsidRPr="00D3666A">
        <w:rPr>
          <w:sz w:val="22"/>
          <w:szCs w:val="22"/>
          <w:lang w:val="en-GB"/>
        </w:rPr>
        <w:t xml:space="preserve"> legal entity registered as travel agency or tour operator</w:t>
      </w:r>
    </w:p>
    <w:p w14:paraId="1EBC6760" w14:textId="77777777" w:rsidR="00D3666A" w:rsidRPr="00D3666A" w:rsidRDefault="00D3666A" w:rsidP="00D3666A">
      <w:pPr>
        <w:pStyle w:val="Blockquote"/>
        <w:spacing w:after="0"/>
        <w:ind w:left="1797" w:right="357"/>
        <w:jc w:val="both"/>
        <w:rPr>
          <w:sz w:val="22"/>
          <w:szCs w:val="22"/>
          <w:lang w:val="en-GB"/>
        </w:rPr>
      </w:pPr>
    </w:p>
    <w:p w14:paraId="2673A386" w14:textId="75CADF6D" w:rsidR="007A3112" w:rsidRDefault="007A3112" w:rsidP="007A311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A40A1B">
        <w:rPr>
          <w:sz w:val="22"/>
          <w:szCs w:val="22"/>
        </w:rPr>
        <w:t>not required</w:t>
      </w:r>
      <w:r w:rsidRPr="000A5CA2">
        <w:rPr>
          <w:sz w:val="22"/>
          <w:szCs w:val="22"/>
        </w:rPr>
        <w:t xml:space="preserve"> </w:t>
      </w:r>
    </w:p>
    <w:p w14:paraId="072A8A23" w14:textId="6EDCCDD0" w:rsidR="000B48AB" w:rsidRPr="000A5CA2" w:rsidRDefault="000B48AB" w:rsidP="000A5CA2">
      <w:pPr>
        <w:pStyle w:val="Blockquote"/>
        <w:spacing w:after="0"/>
        <w:ind w:right="357"/>
        <w:jc w:val="both"/>
        <w:rPr>
          <w:sz w:val="22"/>
          <w:szCs w:val="22"/>
        </w:rPr>
      </w:pPr>
    </w:p>
    <w:p w14:paraId="05E75179" w14:textId="7C1CF329"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 xml:space="preserve">last </w:t>
      </w:r>
      <w:r w:rsidR="007A3112">
        <w:rPr>
          <w:sz w:val="22"/>
          <w:szCs w:val="22"/>
          <w:lang w:val="en-GB"/>
        </w:rPr>
        <w:t>3</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3E401EC3" w14:textId="45320E92" w:rsidR="00884997" w:rsidRPr="00E859A7" w:rsidRDefault="00D3666A" w:rsidP="00884997">
      <w:pPr>
        <w:pStyle w:val="Blockquote"/>
        <w:ind w:right="357" w:hanging="3"/>
        <w:jc w:val="both"/>
        <w:rPr>
          <w:i/>
          <w:sz w:val="22"/>
          <w:szCs w:val="22"/>
          <w:u w:val="single"/>
          <w:lang w:val="en-GB"/>
        </w:rPr>
      </w:pPr>
      <w:r>
        <w:rPr>
          <w:i/>
          <w:sz w:val="22"/>
          <w:szCs w:val="22"/>
          <w:u w:val="single"/>
          <w:lang w:val="en-GB"/>
        </w:rPr>
        <w:t>Criterion:</w:t>
      </w:r>
    </w:p>
    <w:p w14:paraId="3CE90292" w14:textId="4D2B725D" w:rsidR="00884997" w:rsidRPr="007A3112" w:rsidRDefault="00D3666A" w:rsidP="00D3666A">
      <w:pPr>
        <w:pStyle w:val="Blockquote"/>
        <w:numPr>
          <w:ilvl w:val="0"/>
          <w:numId w:val="2"/>
        </w:numPr>
        <w:jc w:val="both"/>
        <w:rPr>
          <w:sz w:val="22"/>
          <w:szCs w:val="22"/>
          <w:lang w:val="en-GB"/>
        </w:rPr>
      </w:pPr>
      <w:r>
        <w:rPr>
          <w:sz w:val="22"/>
          <w:szCs w:val="22"/>
          <w:lang w:val="en-GB"/>
        </w:rPr>
        <w:t>the</w:t>
      </w:r>
      <w:r w:rsidRPr="00D3666A">
        <w:rPr>
          <w:sz w:val="22"/>
          <w:szCs w:val="22"/>
          <w:lang w:val="en-GB"/>
        </w:rPr>
        <w:t xml:space="preserve"> tenderer has provided services of group travel organisation under at least 2 contracts, which were implemented at any mom</w:t>
      </w:r>
      <w:r>
        <w:rPr>
          <w:sz w:val="22"/>
          <w:szCs w:val="22"/>
          <w:lang w:val="en-GB"/>
        </w:rPr>
        <w:t>ent during the following period</w:t>
      </w:r>
      <w:r w:rsidR="00884997" w:rsidRPr="00FD0BC2">
        <w:rPr>
          <w:sz w:val="22"/>
          <w:szCs w:val="22"/>
          <w:lang w:val="en-GB"/>
        </w:rPr>
        <w:t xml:space="preserve">: </w:t>
      </w:r>
      <w:r w:rsidR="007A3112" w:rsidRPr="007A3112">
        <w:rPr>
          <w:sz w:val="22"/>
          <w:szCs w:val="22"/>
          <w:lang w:val="en-GB"/>
        </w:rPr>
        <w:t>1</w:t>
      </w:r>
      <w:r w:rsidR="00B21A41">
        <w:rPr>
          <w:sz w:val="22"/>
          <w:szCs w:val="22"/>
          <w:lang w:val="en-GB"/>
        </w:rPr>
        <w:t>3</w:t>
      </w:r>
      <w:r w:rsidR="00884997" w:rsidRPr="007A3112">
        <w:rPr>
          <w:sz w:val="22"/>
          <w:szCs w:val="22"/>
          <w:lang w:val="en-GB"/>
        </w:rPr>
        <w:t>/0</w:t>
      </w:r>
      <w:r w:rsidR="00B21A41">
        <w:rPr>
          <w:sz w:val="22"/>
          <w:szCs w:val="22"/>
          <w:lang w:val="en-GB"/>
        </w:rPr>
        <w:t>1</w:t>
      </w:r>
      <w:r w:rsidR="00884997" w:rsidRPr="007A3112">
        <w:rPr>
          <w:sz w:val="22"/>
          <w:szCs w:val="22"/>
          <w:lang w:val="en-GB"/>
        </w:rPr>
        <w:t>/20</w:t>
      </w:r>
      <w:r w:rsidR="007A3112" w:rsidRPr="007A3112">
        <w:rPr>
          <w:sz w:val="22"/>
          <w:szCs w:val="22"/>
          <w:lang w:val="en-GB"/>
        </w:rPr>
        <w:t>2</w:t>
      </w:r>
      <w:r w:rsidR="00B21A41">
        <w:rPr>
          <w:sz w:val="22"/>
          <w:szCs w:val="22"/>
          <w:lang w:val="en-GB"/>
        </w:rPr>
        <w:t>2</w:t>
      </w:r>
      <w:r w:rsidR="00884997" w:rsidRPr="007A3112">
        <w:rPr>
          <w:sz w:val="22"/>
          <w:szCs w:val="22"/>
          <w:lang w:val="en-GB"/>
        </w:rPr>
        <w:t>-</w:t>
      </w:r>
      <w:r w:rsidR="007A3112" w:rsidRPr="007A3112">
        <w:rPr>
          <w:sz w:val="22"/>
          <w:szCs w:val="22"/>
          <w:lang w:val="en-GB"/>
        </w:rPr>
        <w:t>1</w:t>
      </w:r>
      <w:r w:rsidR="00B21A41">
        <w:rPr>
          <w:sz w:val="22"/>
          <w:szCs w:val="22"/>
          <w:lang w:val="en-GB"/>
        </w:rPr>
        <w:t>2</w:t>
      </w:r>
      <w:r w:rsidR="00884997" w:rsidRPr="007A3112">
        <w:rPr>
          <w:sz w:val="22"/>
          <w:szCs w:val="22"/>
          <w:lang w:val="en-GB"/>
        </w:rPr>
        <w:t>/0</w:t>
      </w:r>
      <w:r w:rsidR="00B21A41">
        <w:rPr>
          <w:sz w:val="22"/>
          <w:szCs w:val="22"/>
          <w:lang w:val="en-GB"/>
        </w:rPr>
        <w:t>1</w:t>
      </w:r>
      <w:r w:rsidR="00884997" w:rsidRPr="007A3112">
        <w:rPr>
          <w:sz w:val="22"/>
          <w:szCs w:val="22"/>
          <w:lang w:val="en-GB"/>
        </w:rPr>
        <w:t>/202</w:t>
      </w:r>
      <w:r w:rsidR="00B21A41">
        <w:rPr>
          <w:sz w:val="22"/>
          <w:szCs w:val="22"/>
          <w:lang w:val="en-GB"/>
        </w:rPr>
        <w:t>5</w:t>
      </w:r>
      <w:r w:rsidR="00884997" w:rsidRPr="007A3112">
        <w:rPr>
          <w:sz w:val="22"/>
          <w:szCs w:val="22"/>
          <w:lang w:val="en-GB"/>
        </w:rPr>
        <w:t>.</w:t>
      </w:r>
    </w:p>
    <w:p w14:paraId="52146BD0" w14:textId="77777777" w:rsidR="00884997" w:rsidRPr="005D6C1A" w:rsidRDefault="00884997" w:rsidP="00884997">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 xml:space="preserve">statement issued by the client with required details (details of content of services, amount, dates), </w:t>
      </w:r>
      <w:r w:rsidRPr="00E859A7">
        <w:rPr>
          <w:sz w:val="22"/>
          <w:szCs w:val="22"/>
          <w:lang w:val="en-GB"/>
        </w:rPr>
        <w:t>or contr</w:t>
      </w:r>
      <w:r>
        <w:rPr>
          <w:sz w:val="22"/>
          <w:szCs w:val="22"/>
          <w:lang w:val="en-GB"/>
        </w:rPr>
        <w:t>act concluded for such services, or invoice + bank statement evidencing the payment</w:t>
      </w:r>
    </w:p>
    <w:p w14:paraId="25EE2097" w14:textId="77777777" w:rsidR="00B650B7" w:rsidRDefault="00B650B7" w:rsidP="00B650B7">
      <w:pPr>
        <w:pStyle w:val="Blockquote"/>
        <w:ind w:left="1440"/>
        <w:jc w:val="both"/>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4DEC71D3"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r w:rsidR="00857A24">
        <w:rPr>
          <w:lang w:val="en-GB"/>
        </w:rPr>
        <w:t xml:space="preserve"> </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C4372"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1E67DA09"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B21A41">
        <w:rPr>
          <w:b/>
          <w:lang w:val="en-GB"/>
        </w:rPr>
        <w:t>JANUARY</w:t>
      </w:r>
      <w:r w:rsidR="00E64095" w:rsidRPr="00E64095">
        <w:rPr>
          <w:b/>
          <w:lang w:val="en-GB"/>
        </w:rPr>
        <w:t xml:space="preserve"> 202</w:t>
      </w:r>
      <w:r w:rsidR="00B21A41">
        <w:rPr>
          <w:b/>
          <w:lang w:val="en-GB"/>
        </w:rPr>
        <w:t>5</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440871CF"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A40A1B">
      <w:rPr>
        <w:b/>
        <w:sz w:val="20"/>
      </w:rPr>
      <w:t>-TD14</w:t>
    </w:r>
  </w:p>
  <w:p w14:paraId="2F9EBA12" w14:textId="09165067"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3C4372">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3C4372">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93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0EE"/>
    <w:rsid w:val="00013EB7"/>
    <w:rsid w:val="00013F0F"/>
    <w:rsid w:val="00014B76"/>
    <w:rsid w:val="00014F1E"/>
    <w:rsid w:val="000165BB"/>
    <w:rsid w:val="00016776"/>
    <w:rsid w:val="0002004D"/>
    <w:rsid w:val="00022D5F"/>
    <w:rsid w:val="0003004C"/>
    <w:rsid w:val="00030910"/>
    <w:rsid w:val="000333FE"/>
    <w:rsid w:val="00051D1D"/>
    <w:rsid w:val="00054B75"/>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97C86"/>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2AD"/>
    <w:rsid w:val="00233B9D"/>
    <w:rsid w:val="00233DDA"/>
    <w:rsid w:val="00235A71"/>
    <w:rsid w:val="002413EA"/>
    <w:rsid w:val="00243849"/>
    <w:rsid w:val="00251A5F"/>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16DD"/>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B1BF8"/>
    <w:rsid w:val="003C0359"/>
    <w:rsid w:val="003C1515"/>
    <w:rsid w:val="003C4372"/>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6B0E"/>
    <w:rsid w:val="0053638C"/>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36C6"/>
    <w:rsid w:val="005963E8"/>
    <w:rsid w:val="005A0D17"/>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59A4"/>
    <w:rsid w:val="00686C3A"/>
    <w:rsid w:val="00690E9D"/>
    <w:rsid w:val="00697F82"/>
    <w:rsid w:val="006A0598"/>
    <w:rsid w:val="006A3043"/>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742B0"/>
    <w:rsid w:val="007874C8"/>
    <w:rsid w:val="007915EC"/>
    <w:rsid w:val="00793BAE"/>
    <w:rsid w:val="00794A92"/>
    <w:rsid w:val="00796976"/>
    <w:rsid w:val="00796CC5"/>
    <w:rsid w:val="007A04AC"/>
    <w:rsid w:val="007A3112"/>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36A3F"/>
    <w:rsid w:val="00836EF1"/>
    <w:rsid w:val="00845F81"/>
    <w:rsid w:val="00853928"/>
    <w:rsid w:val="00857A24"/>
    <w:rsid w:val="00862885"/>
    <w:rsid w:val="0087086B"/>
    <w:rsid w:val="00881C2D"/>
    <w:rsid w:val="00884997"/>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1913"/>
    <w:rsid w:val="00A35081"/>
    <w:rsid w:val="00A36F1C"/>
    <w:rsid w:val="00A40A1B"/>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6F66"/>
    <w:rsid w:val="00AB7F58"/>
    <w:rsid w:val="00AC0D0C"/>
    <w:rsid w:val="00AC4530"/>
    <w:rsid w:val="00AC7E0D"/>
    <w:rsid w:val="00AD1660"/>
    <w:rsid w:val="00AD1E4D"/>
    <w:rsid w:val="00AD2306"/>
    <w:rsid w:val="00AE1D8D"/>
    <w:rsid w:val="00AE4633"/>
    <w:rsid w:val="00AE6A5B"/>
    <w:rsid w:val="00AF0B6B"/>
    <w:rsid w:val="00AF412E"/>
    <w:rsid w:val="00AF7BB3"/>
    <w:rsid w:val="00B00363"/>
    <w:rsid w:val="00B063F9"/>
    <w:rsid w:val="00B06D60"/>
    <w:rsid w:val="00B112A1"/>
    <w:rsid w:val="00B14398"/>
    <w:rsid w:val="00B200AF"/>
    <w:rsid w:val="00B21A41"/>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B776B"/>
    <w:rsid w:val="00BC353E"/>
    <w:rsid w:val="00BD65BA"/>
    <w:rsid w:val="00BD69EF"/>
    <w:rsid w:val="00BE08EC"/>
    <w:rsid w:val="00BE179F"/>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A46E5"/>
    <w:rsid w:val="00CB23E3"/>
    <w:rsid w:val="00CB759D"/>
    <w:rsid w:val="00CB7AAE"/>
    <w:rsid w:val="00CB7EC7"/>
    <w:rsid w:val="00CC0A41"/>
    <w:rsid w:val="00CC3BA0"/>
    <w:rsid w:val="00CC48C9"/>
    <w:rsid w:val="00CC7E5D"/>
    <w:rsid w:val="00CD765A"/>
    <w:rsid w:val="00CE49A1"/>
    <w:rsid w:val="00CE54A4"/>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3666A"/>
    <w:rsid w:val="00D434A7"/>
    <w:rsid w:val="00D45F34"/>
    <w:rsid w:val="00D46724"/>
    <w:rsid w:val="00D517A4"/>
    <w:rsid w:val="00D51C7E"/>
    <w:rsid w:val="00D54382"/>
    <w:rsid w:val="00D549F4"/>
    <w:rsid w:val="00D57A3D"/>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169"/>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 w:val="00FF25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7"/>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44828">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3B33F-414B-4392-B89E-3A068DA26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4</Pages>
  <Words>1426</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9792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55</cp:revision>
  <cp:lastPrinted>2016-05-31T08:36:00Z</cp:lastPrinted>
  <dcterms:created xsi:type="dcterms:W3CDTF">2023-02-27T19:56:00Z</dcterms:created>
  <dcterms:modified xsi:type="dcterms:W3CDTF">2024-12-27T18:39:00Z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